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ABC527" w14:textId="77777777" w:rsidR="008A6D40" w:rsidRDefault="008A6D40" w:rsidP="008A6D40">
      <w:pPr>
        <w:spacing w:line="480" w:lineRule="auto"/>
        <w:jc w:val="center"/>
        <w:rPr>
          <w:rFonts w:ascii="Times New Roman" w:hAnsi="Times New Roman" w:cs="Times New Roman"/>
          <w:bCs/>
          <w:sz w:val="24"/>
          <w:szCs w:val="24"/>
          <w:lang w:val="en-US"/>
        </w:rPr>
      </w:pPr>
    </w:p>
    <w:p w14:paraId="55A07DE1" w14:textId="77777777" w:rsidR="008A6D40" w:rsidRDefault="008A6D40" w:rsidP="008A6D40">
      <w:pPr>
        <w:spacing w:line="480" w:lineRule="auto"/>
        <w:jc w:val="center"/>
        <w:rPr>
          <w:rFonts w:ascii="Times New Roman" w:hAnsi="Times New Roman" w:cs="Times New Roman"/>
          <w:bCs/>
          <w:sz w:val="24"/>
          <w:szCs w:val="24"/>
          <w:lang w:val="en-US"/>
        </w:rPr>
      </w:pPr>
    </w:p>
    <w:p w14:paraId="62DB4386" w14:textId="77777777" w:rsidR="008A6D40" w:rsidRDefault="008A6D40" w:rsidP="008A6D40">
      <w:pPr>
        <w:spacing w:line="480" w:lineRule="auto"/>
        <w:jc w:val="center"/>
        <w:rPr>
          <w:rFonts w:ascii="Times New Roman" w:hAnsi="Times New Roman" w:cs="Times New Roman"/>
          <w:bCs/>
          <w:sz w:val="24"/>
          <w:szCs w:val="24"/>
          <w:lang w:val="en-US"/>
        </w:rPr>
      </w:pPr>
    </w:p>
    <w:p w14:paraId="59F1F879" w14:textId="77777777" w:rsidR="008A6D40" w:rsidRDefault="008A6D40" w:rsidP="008A6D40">
      <w:pPr>
        <w:spacing w:line="480" w:lineRule="auto"/>
        <w:jc w:val="center"/>
        <w:rPr>
          <w:rFonts w:ascii="Times New Roman" w:hAnsi="Times New Roman" w:cs="Times New Roman"/>
          <w:bCs/>
          <w:sz w:val="24"/>
          <w:szCs w:val="24"/>
          <w:lang w:val="en-US"/>
        </w:rPr>
      </w:pPr>
    </w:p>
    <w:p w14:paraId="5A0467CE" w14:textId="77777777" w:rsidR="008A6D40" w:rsidRDefault="008A6D40" w:rsidP="008A6D40">
      <w:pPr>
        <w:spacing w:line="480" w:lineRule="auto"/>
        <w:jc w:val="center"/>
        <w:rPr>
          <w:rFonts w:ascii="Times New Roman" w:hAnsi="Times New Roman" w:cs="Times New Roman"/>
          <w:bCs/>
          <w:sz w:val="24"/>
          <w:szCs w:val="24"/>
          <w:lang w:val="en-US"/>
        </w:rPr>
      </w:pPr>
    </w:p>
    <w:p w14:paraId="044FCB32" w14:textId="32D61585" w:rsidR="00782399" w:rsidRDefault="00782399" w:rsidP="008A6D40">
      <w:pPr>
        <w:spacing w:line="480" w:lineRule="auto"/>
        <w:jc w:val="center"/>
        <w:rPr>
          <w:rFonts w:ascii="Times New Roman" w:hAnsi="Times New Roman" w:cs="Times New Roman"/>
          <w:bCs/>
          <w:sz w:val="24"/>
          <w:szCs w:val="24"/>
          <w:lang w:val="en-US"/>
        </w:rPr>
      </w:pPr>
      <w:r w:rsidRPr="00782399">
        <w:rPr>
          <w:rFonts w:ascii="Times New Roman" w:hAnsi="Times New Roman" w:cs="Times New Roman"/>
          <w:bCs/>
          <w:sz w:val="24"/>
          <w:szCs w:val="24"/>
          <w:lang w:val="en-US"/>
        </w:rPr>
        <w:t xml:space="preserve">Policies, Practices, Processes, and Cultures that Can Either Stifle or Support Innovation </w:t>
      </w:r>
      <w:r w:rsidR="00066859">
        <w:rPr>
          <w:rFonts w:ascii="Times New Roman" w:hAnsi="Times New Roman" w:cs="Times New Roman"/>
          <w:bCs/>
          <w:sz w:val="24"/>
          <w:szCs w:val="24"/>
          <w:lang w:val="en-US"/>
        </w:rPr>
        <w:t>in the Workforce</w:t>
      </w:r>
    </w:p>
    <w:p w14:paraId="73D75032" w14:textId="075B9F59" w:rsidR="00066859" w:rsidRDefault="00066859" w:rsidP="008A6D40">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60FCDCFE" w14:textId="5D8B7E32" w:rsidR="00066859" w:rsidRDefault="00066859" w:rsidP="008A6D40">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5446D470" w14:textId="77777777" w:rsidR="008A6D40" w:rsidRDefault="008A6D40" w:rsidP="008A6D40">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48CAB467" w14:textId="69509A92" w:rsidR="00066859" w:rsidRDefault="00066859" w:rsidP="008A6D40">
      <w:pPr>
        <w:spacing w:line="480" w:lineRule="auto"/>
        <w:jc w:val="center"/>
        <w:rPr>
          <w:rFonts w:ascii="Times New Roman" w:hAnsi="Times New Roman" w:cs="Times New Roman"/>
          <w:bCs/>
          <w:sz w:val="24"/>
          <w:szCs w:val="24"/>
          <w:lang w:val="en-US"/>
        </w:rPr>
      </w:pPr>
      <w:r w:rsidRPr="00782399">
        <w:rPr>
          <w:rFonts w:ascii="Times New Roman" w:hAnsi="Times New Roman" w:cs="Times New Roman"/>
          <w:bCs/>
          <w:sz w:val="24"/>
          <w:szCs w:val="24"/>
          <w:lang w:val="en-US"/>
        </w:rPr>
        <w:lastRenderedPageBreak/>
        <w:t>Policies, Practices, Processes, and Cultures that Can Either Stifle or Support Innovation</w:t>
      </w:r>
      <w:r>
        <w:rPr>
          <w:rFonts w:ascii="Times New Roman" w:hAnsi="Times New Roman" w:cs="Times New Roman"/>
          <w:bCs/>
          <w:sz w:val="24"/>
          <w:szCs w:val="24"/>
          <w:lang w:val="en-US"/>
        </w:rPr>
        <w:t xml:space="preserve"> in the Workforce</w:t>
      </w:r>
    </w:p>
    <w:p w14:paraId="52F7E36B" w14:textId="77777777" w:rsidR="00066859" w:rsidRDefault="00782399" w:rsidP="008A6D40">
      <w:pPr>
        <w:spacing w:line="480" w:lineRule="auto"/>
        <w:jc w:val="center"/>
        <w:rPr>
          <w:rFonts w:ascii="Times New Roman" w:hAnsi="Times New Roman" w:cs="Times New Roman"/>
          <w:b/>
          <w:sz w:val="24"/>
          <w:szCs w:val="24"/>
          <w:lang w:val="en-US"/>
        </w:rPr>
      </w:pPr>
      <w:r w:rsidRPr="00782399">
        <w:rPr>
          <w:rFonts w:ascii="Times New Roman" w:hAnsi="Times New Roman" w:cs="Times New Roman"/>
          <w:b/>
          <w:sz w:val="24"/>
          <w:szCs w:val="24"/>
          <w:lang w:val="en-US"/>
        </w:rPr>
        <w:t>Introduction</w:t>
      </w:r>
    </w:p>
    <w:p w14:paraId="67F8BC77" w14:textId="6D293A30" w:rsidR="00066859" w:rsidRDefault="00782399" w:rsidP="008A6D40">
      <w:pPr>
        <w:spacing w:line="480" w:lineRule="auto"/>
        <w:ind w:firstLine="720"/>
        <w:rPr>
          <w:rFonts w:ascii="Times New Roman" w:hAnsi="Times New Roman" w:cs="Times New Roman"/>
          <w:sz w:val="24"/>
          <w:szCs w:val="24"/>
          <w:lang w:val="en-US"/>
        </w:rPr>
      </w:pPr>
      <w:r w:rsidRPr="00782399">
        <w:rPr>
          <w:rFonts w:ascii="Times New Roman" w:hAnsi="Times New Roman" w:cs="Times New Roman"/>
          <w:sz w:val="24"/>
          <w:szCs w:val="24"/>
          <w:lang w:val="en-US"/>
        </w:rPr>
        <w:t xml:space="preserve">In the contemporary world, organizations have to deal with a constantly changing market environment especially due to technological advancements. As such, both innovation and organizational agility are crucial assets to not only survive but also gain a competitive advantage over other competitors in the market. Innovation in an organization is crucial in any dynamic environment where knowledge, services, and practices can become obsolete, and should therefore be constantly renewed for the organization to remain competent (Sanz-Valle </w:t>
      </w:r>
      <w:r w:rsidR="008E17A1">
        <w:rPr>
          <w:rFonts w:ascii="Times New Roman" w:hAnsi="Times New Roman" w:cs="Times New Roman"/>
          <w:sz w:val="24"/>
          <w:szCs w:val="24"/>
          <w:lang w:val="en-US"/>
        </w:rPr>
        <w:t>et al.</w:t>
      </w:r>
      <w:r w:rsidRPr="00782399">
        <w:rPr>
          <w:rFonts w:ascii="Times New Roman" w:hAnsi="Times New Roman" w:cs="Times New Roman"/>
          <w:sz w:val="24"/>
          <w:szCs w:val="24"/>
          <w:lang w:val="en-US"/>
        </w:rPr>
        <w:t>, 2011). Agility, on the other hand, allows the organization to assess, anticipate, and respond to changes in the market environment without sacrificing productivity and customer satisfaction. Communication is imperative for agility, and several modern communication tools can be used to optimize the agility of an organization. With this in mind, this paper first compares several organizational policies, practices, processes, and cultures that may hinder or promote innovation in an organization. Afterward, this paper highlights several communication tools that can be used to enhance agility in an organization, and how they can be implemented in an agile organization.</w:t>
      </w:r>
    </w:p>
    <w:p w14:paraId="0F307FA7" w14:textId="77777777" w:rsidR="00066859" w:rsidRDefault="00782399" w:rsidP="008A6D40">
      <w:pPr>
        <w:spacing w:line="480" w:lineRule="auto"/>
        <w:jc w:val="center"/>
        <w:rPr>
          <w:rFonts w:ascii="Times New Roman" w:hAnsi="Times New Roman" w:cs="Times New Roman"/>
          <w:b/>
          <w:sz w:val="24"/>
          <w:szCs w:val="24"/>
          <w:lang w:val="en-US"/>
        </w:rPr>
      </w:pPr>
      <w:r w:rsidRPr="00782399">
        <w:rPr>
          <w:rFonts w:ascii="Times New Roman" w:hAnsi="Times New Roman" w:cs="Times New Roman"/>
          <w:b/>
          <w:sz w:val="24"/>
          <w:szCs w:val="24"/>
          <w:lang w:val="en-US"/>
        </w:rPr>
        <w:t>Organizational Policies and Processes</w:t>
      </w:r>
    </w:p>
    <w:p w14:paraId="0B7CB962" w14:textId="74F92A96" w:rsidR="00066859" w:rsidRDefault="00782399" w:rsidP="008A6D40">
      <w:pPr>
        <w:spacing w:line="480" w:lineRule="auto"/>
        <w:ind w:firstLine="720"/>
        <w:rPr>
          <w:rFonts w:ascii="Times New Roman" w:hAnsi="Times New Roman" w:cs="Times New Roman"/>
          <w:sz w:val="24"/>
          <w:szCs w:val="24"/>
          <w:lang w:val="en-US"/>
        </w:rPr>
      </w:pPr>
      <w:r w:rsidRPr="00782399">
        <w:rPr>
          <w:rFonts w:ascii="Times New Roman" w:hAnsi="Times New Roman" w:cs="Times New Roman"/>
          <w:sz w:val="24"/>
          <w:szCs w:val="24"/>
          <w:lang w:val="en-US"/>
        </w:rPr>
        <w:t xml:space="preserve">Different policies and processes in organizations hinder or promote innovation to different extents. An organization’s policies refer to the guidelines to be followed when taking a course of action concerning a specific component of the organization, while processes are a component of the policies which outline the specific actions to be taken to implement the policies. For instance, the recruitment policies of a company determine how the employees are selected, which determines the quality of employees in the organization </w:t>
      </w:r>
      <w:r w:rsidRPr="00782399">
        <w:rPr>
          <w:rFonts w:ascii="Times New Roman" w:hAnsi="Times New Roman" w:cs="Times New Roman"/>
          <w:sz w:val="24"/>
          <w:szCs w:val="24"/>
          <w:lang w:val="en-US"/>
        </w:rPr>
        <w:lastRenderedPageBreak/>
        <w:t>and, therefore, the quality of its inventors. As such, poor recruitment policies may condemn a company to low-quality employees who may slow down innovation in the organization. A company's policies regarding intellectual property determine the ability of the company to use innovation from one of its members. For instance, patents, which are part of the company policy on intellectual property, provide an employee</w:t>
      </w:r>
      <w:r w:rsidR="008E17A1">
        <w:rPr>
          <w:rFonts w:ascii="Times New Roman" w:hAnsi="Times New Roman" w:cs="Times New Roman"/>
          <w:sz w:val="24"/>
          <w:szCs w:val="24"/>
          <w:lang w:val="en-US"/>
        </w:rPr>
        <w:t xml:space="preserve">, </w:t>
      </w:r>
      <w:r w:rsidRPr="00782399">
        <w:rPr>
          <w:rFonts w:ascii="Times New Roman" w:hAnsi="Times New Roman" w:cs="Times New Roman"/>
          <w:sz w:val="24"/>
          <w:szCs w:val="24"/>
          <w:lang w:val="en-US"/>
        </w:rPr>
        <w:t>in exchange for disclosure of an invention</w:t>
      </w:r>
      <w:r w:rsidR="008E17A1">
        <w:rPr>
          <w:rFonts w:ascii="Times New Roman" w:hAnsi="Times New Roman" w:cs="Times New Roman"/>
          <w:sz w:val="24"/>
          <w:szCs w:val="24"/>
          <w:lang w:val="en-US"/>
        </w:rPr>
        <w:t xml:space="preserve">, </w:t>
      </w:r>
      <w:r w:rsidRPr="00782399">
        <w:rPr>
          <w:rFonts w:ascii="Times New Roman" w:hAnsi="Times New Roman" w:cs="Times New Roman"/>
          <w:sz w:val="24"/>
          <w:szCs w:val="24"/>
          <w:lang w:val="en-US"/>
        </w:rPr>
        <w:t>a limited-term property right to an inventor, during which time the inventor has the right to exclude others from making, using, or selling their invention (Bloom</w:t>
      </w:r>
      <w:r w:rsidR="008E17A1">
        <w:rPr>
          <w:rFonts w:ascii="Times New Roman" w:hAnsi="Times New Roman" w:cs="Times New Roman"/>
          <w:sz w:val="24"/>
          <w:szCs w:val="24"/>
          <w:lang w:val="en-US"/>
        </w:rPr>
        <w:t>.</w:t>
      </w:r>
      <w:r w:rsidRPr="00782399">
        <w:rPr>
          <w:rFonts w:ascii="Times New Roman" w:hAnsi="Times New Roman" w:cs="Times New Roman"/>
          <w:sz w:val="24"/>
          <w:szCs w:val="24"/>
          <w:lang w:val="en-US"/>
        </w:rPr>
        <w:t>, 2019). Therefore, inappropriate patents may prevent a company from being able to utilize innovative products from its employees.</w:t>
      </w:r>
    </w:p>
    <w:p w14:paraId="7EC3B3F2" w14:textId="6ECFCC68" w:rsidR="00066859" w:rsidRDefault="00782399" w:rsidP="008A6D40">
      <w:pPr>
        <w:spacing w:line="480" w:lineRule="auto"/>
        <w:jc w:val="center"/>
        <w:rPr>
          <w:rFonts w:ascii="Times New Roman" w:hAnsi="Times New Roman" w:cs="Times New Roman"/>
          <w:b/>
          <w:sz w:val="24"/>
          <w:szCs w:val="24"/>
          <w:lang w:val="en-US"/>
        </w:rPr>
      </w:pPr>
      <w:r w:rsidRPr="00782399">
        <w:rPr>
          <w:rFonts w:ascii="Times New Roman" w:hAnsi="Times New Roman" w:cs="Times New Roman"/>
          <w:b/>
          <w:sz w:val="24"/>
          <w:szCs w:val="24"/>
          <w:lang w:val="en-US"/>
        </w:rPr>
        <w:t>Organizational Culture</w:t>
      </w:r>
      <w:r w:rsidR="007C66B1">
        <w:rPr>
          <w:rFonts w:ascii="Times New Roman" w:hAnsi="Times New Roman" w:cs="Times New Roman"/>
          <w:b/>
          <w:sz w:val="24"/>
          <w:szCs w:val="24"/>
          <w:lang w:val="en-US"/>
        </w:rPr>
        <w:t>s</w:t>
      </w:r>
    </w:p>
    <w:p w14:paraId="69481222" w14:textId="74CBFF64" w:rsidR="00066859" w:rsidRDefault="00782399" w:rsidP="008A6D40">
      <w:pPr>
        <w:spacing w:line="480" w:lineRule="auto"/>
        <w:ind w:firstLine="720"/>
        <w:rPr>
          <w:rFonts w:ascii="Times New Roman" w:hAnsi="Times New Roman" w:cs="Times New Roman"/>
          <w:sz w:val="24"/>
          <w:szCs w:val="24"/>
          <w:lang w:val="en-US"/>
        </w:rPr>
      </w:pPr>
      <w:r w:rsidRPr="00782399">
        <w:rPr>
          <w:rFonts w:ascii="Times New Roman" w:hAnsi="Times New Roman" w:cs="Times New Roman"/>
          <w:sz w:val="24"/>
          <w:szCs w:val="24"/>
          <w:lang w:val="en-US"/>
        </w:rPr>
        <w:t xml:space="preserve">Organizational culture can either promote or hinder innovation. The organizational culture refers to the values, beliefs, and hidden assumptions that organizational members have in common (Sanz-Valle </w:t>
      </w:r>
      <w:r w:rsidR="008E17A1">
        <w:rPr>
          <w:rFonts w:ascii="Times New Roman" w:hAnsi="Times New Roman" w:cs="Times New Roman"/>
          <w:sz w:val="24"/>
          <w:szCs w:val="24"/>
          <w:lang w:val="en-US"/>
        </w:rPr>
        <w:t>et al.,</w:t>
      </w:r>
      <w:r w:rsidRPr="00782399">
        <w:rPr>
          <w:rFonts w:ascii="Times New Roman" w:hAnsi="Times New Roman" w:cs="Times New Roman"/>
          <w:sz w:val="24"/>
          <w:szCs w:val="24"/>
          <w:lang w:val="en-US"/>
        </w:rPr>
        <w:t xml:space="preserve"> 2011). The culture influences innovation by affecting organizational learning, which is how information is acquired and shared within the organization. This is first because the culture determines the members' outlook on the importance of knowledge, how new knowledge is created and shared, and the context in which this knowledge is shared which correlates to the effectiveness of knowledge sharing (Sanz-Valle </w:t>
      </w:r>
      <w:r w:rsidR="008E17A1">
        <w:rPr>
          <w:rFonts w:ascii="Times New Roman" w:hAnsi="Times New Roman" w:cs="Times New Roman"/>
          <w:sz w:val="24"/>
          <w:szCs w:val="24"/>
          <w:lang w:val="en-US"/>
        </w:rPr>
        <w:t>et al.,</w:t>
      </w:r>
      <w:r w:rsidRPr="00782399">
        <w:rPr>
          <w:rFonts w:ascii="Times New Roman" w:hAnsi="Times New Roman" w:cs="Times New Roman"/>
          <w:sz w:val="24"/>
          <w:szCs w:val="24"/>
          <w:lang w:val="en-US"/>
        </w:rPr>
        <w:t xml:space="preserve"> 2011). Consequently, the four different cultures differently influence organizational learning, with the market and hierarchical cultures negatively affecting organizational learning, while adhocracy and clan cultures positively affect organizational learning (Sanz-Valle </w:t>
      </w:r>
      <w:r w:rsidR="008E17A1">
        <w:rPr>
          <w:rFonts w:ascii="Times New Roman" w:hAnsi="Times New Roman" w:cs="Times New Roman"/>
          <w:sz w:val="24"/>
          <w:szCs w:val="24"/>
          <w:lang w:val="en-US"/>
        </w:rPr>
        <w:t>et al.,</w:t>
      </w:r>
      <w:r w:rsidRPr="00782399">
        <w:rPr>
          <w:rFonts w:ascii="Times New Roman" w:hAnsi="Times New Roman" w:cs="Times New Roman"/>
          <w:sz w:val="24"/>
          <w:szCs w:val="24"/>
          <w:lang w:val="en-US"/>
        </w:rPr>
        <w:t xml:space="preserve"> 2011).</w:t>
      </w:r>
    </w:p>
    <w:p w14:paraId="12A56500" w14:textId="5111A560" w:rsidR="00066859" w:rsidRDefault="00782399" w:rsidP="008A6D40">
      <w:pPr>
        <w:spacing w:line="480" w:lineRule="auto"/>
        <w:ind w:firstLine="720"/>
        <w:rPr>
          <w:rFonts w:ascii="Times New Roman" w:hAnsi="Times New Roman" w:cs="Times New Roman"/>
          <w:sz w:val="24"/>
          <w:szCs w:val="24"/>
          <w:lang w:val="en-US"/>
        </w:rPr>
      </w:pPr>
      <w:r w:rsidRPr="00782399">
        <w:rPr>
          <w:rFonts w:ascii="Times New Roman" w:hAnsi="Times New Roman" w:cs="Times New Roman"/>
          <w:sz w:val="24"/>
          <w:szCs w:val="24"/>
          <w:lang w:val="en-US"/>
        </w:rPr>
        <w:t xml:space="preserve">Also, while the hierarchical culture hinders innovation by focusing on internal stability thus reducing the organization's access to new knowledge, the adhocracy culture promotes innovation by enhancing creativity and risk-taking alongside external orientation </w:t>
      </w:r>
      <w:r w:rsidRPr="00782399">
        <w:rPr>
          <w:rFonts w:ascii="Times New Roman" w:hAnsi="Times New Roman" w:cs="Times New Roman"/>
          <w:sz w:val="24"/>
          <w:szCs w:val="24"/>
          <w:lang w:val="en-US"/>
        </w:rPr>
        <w:lastRenderedPageBreak/>
        <w:t xml:space="preserve">(Sanz-Valle </w:t>
      </w:r>
      <w:r w:rsidR="008E17A1">
        <w:rPr>
          <w:rFonts w:ascii="Times New Roman" w:hAnsi="Times New Roman" w:cs="Times New Roman"/>
          <w:sz w:val="24"/>
          <w:szCs w:val="24"/>
          <w:lang w:val="en-US"/>
        </w:rPr>
        <w:t>et al.,</w:t>
      </w:r>
      <w:r w:rsidRPr="00782399">
        <w:rPr>
          <w:rFonts w:ascii="Times New Roman" w:hAnsi="Times New Roman" w:cs="Times New Roman"/>
          <w:sz w:val="24"/>
          <w:szCs w:val="24"/>
          <w:lang w:val="en-US"/>
        </w:rPr>
        <w:t xml:space="preserve"> 2011). On the other hand, the clan culture emphasizes teamwork, which enhances innovation through sharing knowledge but the market culture hinders innovation by focusing on internal stability rather than flexibility (Sanz-Valle </w:t>
      </w:r>
      <w:r w:rsidR="008E17A1">
        <w:rPr>
          <w:rFonts w:ascii="Times New Roman" w:hAnsi="Times New Roman" w:cs="Times New Roman"/>
          <w:sz w:val="24"/>
          <w:szCs w:val="24"/>
          <w:lang w:val="en-US"/>
        </w:rPr>
        <w:t xml:space="preserve">et al., </w:t>
      </w:r>
      <w:r w:rsidRPr="00782399">
        <w:rPr>
          <w:rFonts w:ascii="Times New Roman" w:hAnsi="Times New Roman" w:cs="Times New Roman"/>
          <w:sz w:val="24"/>
          <w:szCs w:val="24"/>
          <w:lang w:val="en-US"/>
        </w:rPr>
        <w:t xml:space="preserve">2011). Therefore, to enhance organizational learning, which is a crucial component of innovation, neither flexibility-focused culture nor an externally focused are enough, but both are essential in optimizing organizational learning (Sanz-Valle </w:t>
      </w:r>
      <w:r w:rsidR="008E17A1">
        <w:rPr>
          <w:rFonts w:ascii="Times New Roman" w:hAnsi="Times New Roman" w:cs="Times New Roman"/>
          <w:sz w:val="24"/>
          <w:szCs w:val="24"/>
          <w:lang w:val="en-US"/>
        </w:rPr>
        <w:t>et al.,</w:t>
      </w:r>
      <w:r w:rsidRPr="00782399">
        <w:rPr>
          <w:rFonts w:ascii="Times New Roman" w:hAnsi="Times New Roman" w:cs="Times New Roman"/>
          <w:sz w:val="24"/>
          <w:szCs w:val="24"/>
          <w:lang w:val="en-US"/>
        </w:rPr>
        <w:t xml:space="preserve"> 2011). As a result, organizations should create a culture that supports organizational learning to promote innovation.</w:t>
      </w:r>
    </w:p>
    <w:p w14:paraId="7A520392" w14:textId="6AD1EE07" w:rsidR="00782399" w:rsidRPr="00782399" w:rsidRDefault="00782399" w:rsidP="008A6D40">
      <w:pPr>
        <w:spacing w:line="480" w:lineRule="auto"/>
        <w:jc w:val="center"/>
        <w:rPr>
          <w:rFonts w:ascii="Times New Roman" w:hAnsi="Times New Roman" w:cs="Times New Roman"/>
          <w:b/>
          <w:sz w:val="24"/>
          <w:szCs w:val="24"/>
          <w:lang w:val="en-US"/>
        </w:rPr>
      </w:pPr>
      <w:r w:rsidRPr="00782399">
        <w:rPr>
          <w:rFonts w:ascii="Times New Roman" w:hAnsi="Times New Roman" w:cs="Times New Roman"/>
          <w:b/>
          <w:sz w:val="24"/>
          <w:szCs w:val="24"/>
          <w:lang w:val="en-US"/>
        </w:rPr>
        <w:t>Organizational Practices</w:t>
      </w:r>
    </w:p>
    <w:p w14:paraId="782F74C3" w14:textId="258151BB" w:rsidR="00066859" w:rsidRDefault="00782399" w:rsidP="008A6D40">
      <w:pPr>
        <w:spacing w:line="480" w:lineRule="auto"/>
        <w:ind w:firstLine="720"/>
        <w:rPr>
          <w:rFonts w:ascii="Times New Roman" w:hAnsi="Times New Roman" w:cs="Times New Roman"/>
          <w:sz w:val="24"/>
          <w:szCs w:val="24"/>
          <w:lang w:val="en-US"/>
        </w:rPr>
      </w:pPr>
      <w:r w:rsidRPr="00782399">
        <w:rPr>
          <w:rFonts w:ascii="Times New Roman" w:hAnsi="Times New Roman" w:cs="Times New Roman"/>
          <w:sz w:val="24"/>
          <w:szCs w:val="24"/>
          <w:lang w:val="en-US"/>
        </w:rPr>
        <w:t xml:space="preserve">Organizational practices can promote or hinder the innovative processes in an organization. Organizational practices are heavily influenced by the organizational culture, and the reverse is true since these practices also contribute to creating the environment in which innovation occurs. For instance, practices such as regularly motivating employees through rewards and recognition for exceptional performance create an environment that allows them to exercise their creativity and submit innovative ideas (Steele &amp; Murray, 2004).  Additionally, practices aimed at enhancing innovation as proposed by Kaztenbach </w:t>
      </w:r>
      <w:r w:rsidR="008E17A1">
        <w:rPr>
          <w:rFonts w:ascii="Times New Roman" w:hAnsi="Times New Roman" w:cs="Times New Roman"/>
          <w:sz w:val="24"/>
          <w:szCs w:val="24"/>
          <w:lang w:val="en-US"/>
        </w:rPr>
        <w:t>et al</w:t>
      </w:r>
      <w:r w:rsidRPr="00782399">
        <w:rPr>
          <w:rFonts w:ascii="Times New Roman" w:hAnsi="Times New Roman" w:cs="Times New Roman"/>
          <w:sz w:val="24"/>
          <w:szCs w:val="24"/>
          <w:lang w:val="en-US"/>
        </w:rPr>
        <w:t xml:space="preserve">. (2012) include performance management, use of compensation for innovative ideas, creating reliable reporting structures, and setting up strategies for proper internal communication, while informal interventions would include the engagement of motivational leaders, enhancing peer to peer interactions, and creating meaningful manager-employee connections. Therefore, the organization’s practices, business strategy, and objectives should be aligned to the desired organizational and learning cultures of the organization (Kaztenbach </w:t>
      </w:r>
      <w:r w:rsidR="008E17A1">
        <w:rPr>
          <w:rFonts w:ascii="Times New Roman" w:hAnsi="Times New Roman" w:cs="Times New Roman"/>
          <w:sz w:val="24"/>
          <w:szCs w:val="24"/>
          <w:lang w:val="en-US"/>
        </w:rPr>
        <w:t>et al</w:t>
      </w:r>
      <w:r w:rsidRPr="00782399">
        <w:rPr>
          <w:rFonts w:ascii="Times New Roman" w:hAnsi="Times New Roman" w:cs="Times New Roman"/>
          <w:sz w:val="24"/>
          <w:szCs w:val="24"/>
          <w:lang w:val="en-US"/>
        </w:rPr>
        <w:t>., 2012).</w:t>
      </w:r>
    </w:p>
    <w:p w14:paraId="3ABC15C7" w14:textId="77777777" w:rsidR="00066859" w:rsidRDefault="00782399" w:rsidP="008A6D40">
      <w:pPr>
        <w:spacing w:line="480" w:lineRule="auto"/>
        <w:jc w:val="center"/>
        <w:rPr>
          <w:rFonts w:ascii="Times New Roman" w:hAnsi="Times New Roman" w:cs="Times New Roman"/>
          <w:b/>
          <w:sz w:val="24"/>
          <w:szCs w:val="24"/>
          <w:lang w:val="en-US"/>
        </w:rPr>
      </w:pPr>
      <w:r w:rsidRPr="00782399">
        <w:rPr>
          <w:rFonts w:ascii="Times New Roman" w:hAnsi="Times New Roman" w:cs="Times New Roman"/>
          <w:b/>
          <w:sz w:val="24"/>
          <w:szCs w:val="24"/>
          <w:lang w:val="en-US"/>
        </w:rPr>
        <w:t>Communication</w:t>
      </w:r>
      <w:r w:rsidR="00066859">
        <w:rPr>
          <w:rFonts w:ascii="Times New Roman" w:hAnsi="Times New Roman" w:cs="Times New Roman"/>
          <w:b/>
          <w:sz w:val="24"/>
          <w:szCs w:val="24"/>
          <w:lang w:val="en-US"/>
        </w:rPr>
        <w:t xml:space="preserve"> and Agility</w:t>
      </w:r>
    </w:p>
    <w:p w14:paraId="0F8ECC69" w14:textId="5C40B57F" w:rsidR="00066859" w:rsidRDefault="00782399" w:rsidP="008A6D40">
      <w:pPr>
        <w:spacing w:line="480" w:lineRule="auto"/>
        <w:ind w:firstLine="720"/>
        <w:rPr>
          <w:rFonts w:ascii="Times New Roman" w:hAnsi="Times New Roman" w:cs="Times New Roman"/>
          <w:sz w:val="24"/>
          <w:szCs w:val="24"/>
          <w:lang w:val="en-US"/>
        </w:rPr>
      </w:pPr>
      <w:r w:rsidRPr="00782399">
        <w:rPr>
          <w:rFonts w:ascii="Times New Roman" w:hAnsi="Times New Roman" w:cs="Times New Roman"/>
          <w:sz w:val="24"/>
          <w:szCs w:val="24"/>
          <w:lang w:val="en-US"/>
        </w:rPr>
        <w:t xml:space="preserve">Communication is essential for agility in an organization. The agility of a business refers to its ability to respond quickly to rapidly changing, fragmenting global markets that </w:t>
      </w:r>
      <w:r w:rsidRPr="00782399">
        <w:rPr>
          <w:rFonts w:ascii="Times New Roman" w:hAnsi="Times New Roman" w:cs="Times New Roman"/>
          <w:sz w:val="24"/>
          <w:szCs w:val="24"/>
          <w:lang w:val="en-US"/>
        </w:rPr>
        <w:lastRenderedPageBreak/>
        <w:t xml:space="preserve">are served by networked competitors with routine access to a worldwide production system and are driven by demand for high-quality, high-performance, low-cost, customer-configured products and services (Van Oosterhout, 2010). Although organizations in different industries require different levels of agility, change is inevitable and every business has to address how to deal with changes. Van Oosternhout (2010) categorizes several situations that may cause unprecedented changes in the business environment, which include catastrophic events such as emergencies or disasters, internal company events such as mergers, and changes brought about by technology such as new business models due to wireless connectivity. Harraf </w:t>
      </w:r>
      <w:r w:rsidR="008E17A1">
        <w:rPr>
          <w:rFonts w:ascii="Times New Roman" w:hAnsi="Times New Roman" w:cs="Times New Roman"/>
          <w:sz w:val="24"/>
          <w:szCs w:val="24"/>
          <w:lang w:val="en-US"/>
        </w:rPr>
        <w:t>et al.</w:t>
      </w:r>
      <w:r w:rsidRPr="00782399">
        <w:rPr>
          <w:rFonts w:ascii="Times New Roman" w:hAnsi="Times New Roman" w:cs="Times New Roman"/>
          <w:sz w:val="24"/>
          <w:szCs w:val="24"/>
          <w:lang w:val="en-US"/>
        </w:rPr>
        <w:t xml:space="preserve"> (2015) point out that since agility requires change management, communication inside (among members) is important for clarity of the organization’s objectives and vision, as well as for effective leadership; and outside the organization (with stockholders, possible customers, and other organizations) enables the company to clarify its position and engage with customers to gain feedback and find better ways to customize their products.</w:t>
      </w:r>
    </w:p>
    <w:p w14:paraId="6AC82147" w14:textId="77777777" w:rsidR="00066859" w:rsidRDefault="00782399" w:rsidP="008A6D40">
      <w:pPr>
        <w:spacing w:line="480" w:lineRule="auto"/>
        <w:ind w:firstLine="720"/>
        <w:rPr>
          <w:rFonts w:ascii="Times New Roman" w:hAnsi="Times New Roman" w:cs="Times New Roman"/>
          <w:sz w:val="24"/>
          <w:szCs w:val="24"/>
          <w:lang w:val="en-US"/>
        </w:rPr>
      </w:pPr>
      <w:r w:rsidRPr="00782399">
        <w:rPr>
          <w:rFonts w:ascii="Times New Roman" w:hAnsi="Times New Roman" w:cs="Times New Roman"/>
          <w:sz w:val="24"/>
          <w:szCs w:val="24"/>
          <w:lang w:val="en-US"/>
        </w:rPr>
        <w:t xml:space="preserve">To promote agility, several communication tools can be used. Williamson &amp; Bruno (2012) classify communication tools into four main categories based on the type of communication they use. These include mutual discourse, which entails tools such as blogs, social media, and discussion forums; responsive dialogue which uses tools such as e-commerce, planning certificate forms, and development application forms; monologue communication tools such as electronic newsletters, meeting minutes, and agendas, and audios/videos of public meetings; and feedback communication tools such as customer service e-mails and platforms for comment submission. Furthermore, Reyes (2011) proposes software architecture as a tool that can promote agility, since it allows companies to minimize costs by allowing the reuse of design components and patterns between IT projects. Also, software toolsets and applications enable project teams to be more productive in communicating and in developing products and some of these tools include collaboration </w:t>
      </w:r>
      <w:r w:rsidRPr="00782399">
        <w:rPr>
          <w:rFonts w:ascii="Times New Roman" w:hAnsi="Times New Roman" w:cs="Times New Roman"/>
          <w:sz w:val="24"/>
          <w:szCs w:val="24"/>
          <w:lang w:val="en-US"/>
        </w:rPr>
        <w:lastRenderedPageBreak/>
        <w:t>portals, real-time health reporting, automated testing tools, continuous build and deployment tools (Reyes, 2011). Nonetheless, these software communication tools should be service-oriented and should focus on flexibility, compatibility, scalability, maintainability, and interoperability (Reyes, 2011).</w:t>
      </w:r>
    </w:p>
    <w:p w14:paraId="388C1AC4" w14:textId="71B8B5B0" w:rsidR="00066859" w:rsidRDefault="00782399" w:rsidP="008A6D40">
      <w:pPr>
        <w:spacing w:line="480" w:lineRule="auto"/>
        <w:ind w:firstLine="720"/>
        <w:rPr>
          <w:rFonts w:ascii="Times New Roman" w:hAnsi="Times New Roman" w:cs="Times New Roman"/>
          <w:sz w:val="24"/>
          <w:szCs w:val="24"/>
          <w:lang w:val="en-US"/>
        </w:rPr>
      </w:pPr>
      <w:r w:rsidRPr="00782399">
        <w:rPr>
          <w:rFonts w:ascii="Times New Roman" w:hAnsi="Times New Roman" w:cs="Times New Roman"/>
          <w:sz w:val="24"/>
          <w:szCs w:val="24"/>
          <w:lang w:val="en-US"/>
        </w:rPr>
        <w:t xml:space="preserve">Several measures can be taken to incorporate communication tools that promote agility into the framework of an organization. For starters, the company should invest in quality information technology equipment, which would form an informational infrastructure that enables the acquisition of new knowledge, and facilitate seamless information flow inside and outside the organization (Yaghoubi </w:t>
      </w:r>
      <w:r w:rsidR="008E17A1">
        <w:rPr>
          <w:rFonts w:ascii="Times New Roman" w:hAnsi="Times New Roman" w:cs="Times New Roman"/>
          <w:sz w:val="24"/>
          <w:szCs w:val="24"/>
          <w:lang w:val="en-US"/>
        </w:rPr>
        <w:t>et al.</w:t>
      </w:r>
      <w:r w:rsidRPr="00782399">
        <w:rPr>
          <w:rFonts w:ascii="Times New Roman" w:hAnsi="Times New Roman" w:cs="Times New Roman"/>
          <w:sz w:val="24"/>
          <w:szCs w:val="24"/>
          <w:lang w:val="en-US"/>
        </w:rPr>
        <w:t>, 2011). Particularly, software tools require investment in technical architecture to enhance long-term information technology productivity, through the adoption of emerging infrastructure standards to gain efficiencies in cost and in time-to-market (Reyes, 2011). Furthermore, the incorporation of these tools requires efficient management strategies based on an understanding of reliable frameworks and the execution of a sound strategy that aligns well with the overall enterprise (Reyes, 2011). Therefore, the leadership of the organization should also take part in supporting these communication tools, through measures such as rewarding employees who positively embrace these communication tools.</w:t>
      </w:r>
    </w:p>
    <w:p w14:paraId="0875085A" w14:textId="77777777" w:rsidR="00066859" w:rsidRDefault="00782399" w:rsidP="008A6D40">
      <w:pPr>
        <w:spacing w:line="480" w:lineRule="auto"/>
        <w:jc w:val="center"/>
        <w:rPr>
          <w:rFonts w:ascii="Times New Roman" w:hAnsi="Times New Roman" w:cs="Times New Roman"/>
          <w:b/>
          <w:sz w:val="24"/>
          <w:szCs w:val="24"/>
          <w:lang w:val="en-US"/>
        </w:rPr>
      </w:pPr>
      <w:r w:rsidRPr="00782399">
        <w:rPr>
          <w:rFonts w:ascii="Times New Roman" w:hAnsi="Times New Roman" w:cs="Times New Roman"/>
          <w:b/>
          <w:sz w:val="24"/>
          <w:szCs w:val="24"/>
          <w:lang w:val="en-US"/>
        </w:rPr>
        <w:t>Conclusion</w:t>
      </w:r>
    </w:p>
    <w:p w14:paraId="16288822" w14:textId="77777777" w:rsidR="00066859" w:rsidRDefault="00782399" w:rsidP="008A6D40">
      <w:pPr>
        <w:spacing w:line="480" w:lineRule="auto"/>
        <w:ind w:firstLine="720"/>
        <w:rPr>
          <w:rFonts w:ascii="Times New Roman" w:hAnsi="Times New Roman" w:cs="Times New Roman"/>
          <w:sz w:val="24"/>
          <w:szCs w:val="24"/>
          <w:lang w:val="en-US"/>
        </w:rPr>
      </w:pPr>
      <w:r w:rsidRPr="00782399">
        <w:rPr>
          <w:rFonts w:ascii="Times New Roman" w:hAnsi="Times New Roman" w:cs="Times New Roman"/>
          <w:sz w:val="24"/>
          <w:szCs w:val="24"/>
          <w:lang w:val="en-US"/>
        </w:rPr>
        <w:t xml:space="preserve">Therefore, we can conclude that organizational policies, processes, practices, and culture influence innovation in the organization. For an organization to optimize innovation, it should ensure flexible policies that favor innovation are in place and are executed through clear processes. Additionally, the organization should encourage the adhocracy culture since it emphasizes flexibility and clan culture which focuses on teamwork and sharing of knowledge among members of the organization. Essentially, a balance should be created </w:t>
      </w:r>
      <w:r w:rsidRPr="00782399">
        <w:rPr>
          <w:rFonts w:ascii="Times New Roman" w:hAnsi="Times New Roman" w:cs="Times New Roman"/>
          <w:sz w:val="24"/>
          <w:szCs w:val="24"/>
          <w:lang w:val="en-US"/>
        </w:rPr>
        <w:lastRenderedPageBreak/>
        <w:t>between flexibility and external focus, while simultaneously promoting organizational learning. However, hierarchical and market cultures should not be completely discarded, since they may have other advantages, but do not positively contribute to organizational learning. It follows, therefore, that organizational practices should be objectively built around the organizational cultures while creating an environment that is receptive to innovation and creativity. Nonetheless, the role of agility in navigating market changes should not be ignored, since it enables the organization to adapt and respond to these changes. As such, communication in the organization should foster agility, through the use of modern communication tools that provide the necessary knowledge and enable the exchange of information to successfully adapt to changes in the environment of the organization. Finally, communication tools such as software sets and applications require company investment in quality software infrastructure, alongside efficient management to successfully incorporate these tools into the framework of an agile organization without affecting productivity.</w:t>
      </w:r>
    </w:p>
    <w:p w14:paraId="0976CF0F" w14:textId="77777777" w:rsidR="008A6D40" w:rsidRDefault="008A6D40" w:rsidP="008A6D40">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418994E2" w14:textId="010DCCCF" w:rsidR="00066859" w:rsidRDefault="00782399" w:rsidP="008A6D40">
      <w:pPr>
        <w:spacing w:line="480" w:lineRule="auto"/>
        <w:jc w:val="center"/>
        <w:rPr>
          <w:rFonts w:ascii="Times New Roman" w:hAnsi="Times New Roman" w:cs="Times New Roman"/>
          <w:bCs/>
          <w:sz w:val="24"/>
          <w:szCs w:val="24"/>
          <w:lang w:val="en-US"/>
        </w:rPr>
      </w:pPr>
      <w:r w:rsidRPr="00782399">
        <w:rPr>
          <w:rFonts w:ascii="Times New Roman" w:hAnsi="Times New Roman" w:cs="Times New Roman"/>
          <w:bCs/>
          <w:sz w:val="24"/>
          <w:szCs w:val="24"/>
          <w:lang w:val="en-US"/>
        </w:rPr>
        <w:lastRenderedPageBreak/>
        <w:t>References</w:t>
      </w:r>
    </w:p>
    <w:p w14:paraId="4E2D0937" w14:textId="77777777" w:rsidR="008A6D40" w:rsidRDefault="008A6D40" w:rsidP="008A6D40">
      <w:pPr>
        <w:spacing w:line="480" w:lineRule="auto"/>
        <w:ind w:left="720" w:hanging="720"/>
        <w:rPr>
          <w:rFonts w:ascii="Times New Roman" w:hAnsi="Times New Roman" w:cs="Times New Roman"/>
          <w:sz w:val="24"/>
          <w:szCs w:val="24"/>
          <w:lang w:val="en-US"/>
        </w:rPr>
      </w:pPr>
      <w:r w:rsidRPr="00782399">
        <w:rPr>
          <w:rFonts w:ascii="Times New Roman" w:hAnsi="Times New Roman" w:cs="Times New Roman"/>
          <w:sz w:val="24"/>
          <w:szCs w:val="24"/>
          <w:lang w:val="en-US"/>
        </w:rPr>
        <w:t>Bloom, N., Van Reenen, J., &amp; Williams, H. (2019). A toolkit of policies to promote innovation. </w:t>
      </w:r>
      <w:r w:rsidRPr="00782399">
        <w:rPr>
          <w:rFonts w:ascii="Times New Roman" w:hAnsi="Times New Roman" w:cs="Times New Roman"/>
          <w:i/>
          <w:sz w:val="24"/>
          <w:szCs w:val="24"/>
          <w:lang w:val="en-US"/>
        </w:rPr>
        <w:t>Journal of Economic Perspectives</w:t>
      </w:r>
      <w:r w:rsidRPr="00782399">
        <w:rPr>
          <w:rFonts w:ascii="Times New Roman" w:hAnsi="Times New Roman" w:cs="Times New Roman"/>
          <w:sz w:val="24"/>
          <w:szCs w:val="24"/>
          <w:lang w:val="en-US"/>
        </w:rPr>
        <w:t xml:space="preserve">, </w:t>
      </w:r>
      <w:r w:rsidRPr="00782399">
        <w:rPr>
          <w:rFonts w:ascii="Times New Roman" w:hAnsi="Times New Roman" w:cs="Times New Roman"/>
          <w:i/>
          <w:iCs/>
          <w:sz w:val="24"/>
          <w:szCs w:val="24"/>
          <w:lang w:val="en-US"/>
        </w:rPr>
        <w:t>33</w:t>
      </w:r>
      <w:r w:rsidRPr="00782399">
        <w:rPr>
          <w:rFonts w:ascii="Times New Roman" w:hAnsi="Times New Roman" w:cs="Times New Roman"/>
          <w:sz w:val="24"/>
          <w:szCs w:val="24"/>
          <w:lang w:val="en-US"/>
        </w:rPr>
        <w:t>(3), 163-84.</w:t>
      </w:r>
    </w:p>
    <w:p w14:paraId="30C762AA" w14:textId="77777777" w:rsidR="008A6D40" w:rsidRDefault="008A6D40" w:rsidP="008A6D40">
      <w:pPr>
        <w:spacing w:line="480" w:lineRule="auto"/>
        <w:ind w:left="720" w:hanging="720"/>
        <w:rPr>
          <w:rFonts w:ascii="Times New Roman" w:hAnsi="Times New Roman" w:cs="Times New Roman"/>
          <w:sz w:val="24"/>
          <w:szCs w:val="24"/>
          <w:lang w:val="en-US"/>
        </w:rPr>
      </w:pPr>
      <w:r w:rsidRPr="00782399">
        <w:rPr>
          <w:rFonts w:ascii="Times New Roman" w:hAnsi="Times New Roman" w:cs="Times New Roman"/>
          <w:sz w:val="24"/>
          <w:szCs w:val="24"/>
          <w:lang w:val="en-US"/>
        </w:rPr>
        <w:t>Harraf, A., Wanasika, I., Tate, K., &amp; Talbott, K. (2015). Organizational agility.</w:t>
      </w:r>
      <w:r w:rsidRPr="00782399">
        <w:rPr>
          <w:rFonts w:ascii="Times New Roman" w:hAnsi="Times New Roman" w:cs="Times New Roman"/>
          <w:i/>
          <w:sz w:val="24"/>
          <w:szCs w:val="24"/>
          <w:lang w:val="en-US"/>
        </w:rPr>
        <w:t> Journal of Applied Business Research (JABR)</w:t>
      </w:r>
      <w:r w:rsidRPr="00782399">
        <w:rPr>
          <w:rFonts w:ascii="Times New Roman" w:hAnsi="Times New Roman" w:cs="Times New Roman"/>
          <w:sz w:val="24"/>
          <w:szCs w:val="24"/>
          <w:lang w:val="en-US"/>
        </w:rPr>
        <w:t>, </w:t>
      </w:r>
      <w:r w:rsidRPr="00782399">
        <w:rPr>
          <w:rFonts w:ascii="Times New Roman" w:hAnsi="Times New Roman" w:cs="Times New Roman"/>
          <w:i/>
          <w:iCs/>
          <w:sz w:val="24"/>
          <w:szCs w:val="24"/>
          <w:lang w:val="en-US"/>
        </w:rPr>
        <w:t>31</w:t>
      </w:r>
      <w:r w:rsidRPr="00782399">
        <w:rPr>
          <w:rFonts w:ascii="Times New Roman" w:hAnsi="Times New Roman" w:cs="Times New Roman"/>
          <w:sz w:val="24"/>
          <w:szCs w:val="24"/>
          <w:lang w:val="en-US"/>
        </w:rPr>
        <w:t>(2), 675-686.</w:t>
      </w:r>
    </w:p>
    <w:p w14:paraId="6C20EBDF" w14:textId="77777777" w:rsidR="008A6D40" w:rsidRDefault="008A6D40" w:rsidP="008A6D40">
      <w:pPr>
        <w:spacing w:line="480" w:lineRule="auto"/>
        <w:ind w:left="720" w:hanging="720"/>
        <w:rPr>
          <w:rFonts w:ascii="Times New Roman" w:hAnsi="Times New Roman" w:cs="Times New Roman"/>
          <w:sz w:val="24"/>
          <w:szCs w:val="24"/>
          <w:lang w:val="en-US"/>
        </w:rPr>
      </w:pPr>
      <w:r w:rsidRPr="00782399">
        <w:rPr>
          <w:rFonts w:ascii="Times New Roman" w:hAnsi="Times New Roman" w:cs="Times New Roman"/>
          <w:sz w:val="24"/>
          <w:szCs w:val="24"/>
          <w:lang w:val="en-US"/>
        </w:rPr>
        <w:t>Katzenbach, J. R., Steffen, I., &amp; Kronley, C. (2012, July-August). Culture change that sticks: Start with what's already working</w:t>
      </w:r>
      <w:r w:rsidRPr="00782399">
        <w:rPr>
          <w:rFonts w:ascii="Times New Roman" w:hAnsi="Times New Roman" w:cs="Times New Roman"/>
          <w:i/>
          <w:sz w:val="24"/>
          <w:szCs w:val="24"/>
          <w:lang w:val="en-US"/>
        </w:rPr>
        <w:t>. Harvard Business Review</w:t>
      </w:r>
      <w:r w:rsidRPr="00782399">
        <w:rPr>
          <w:rFonts w:ascii="Times New Roman" w:hAnsi="Times New Roman" w:cs="Times New Roman"/>
          <w:sz w:val="24"/>
          <w:szCs w:val="24"/>
          <w:lang w:val="en-US"/>
        </w:rPr>
        <w:t>, 111-117.</w:t>
      </w:r>
      <w:r>
        <w:rPr>
          <w:rFonts w:ascii="Times New Roman" w:hAnsi="Times New Roman" w:cs="Times New Roman"/>
          <w:sz w:val="24"/>
          <w:szCs w:val="24"/>
          <w:lang w:val="en-US"/>
        </w:rPr>
        <w:t xml:space="preserve"> </w:t>
      </w:r>
      <w:hyperlink r:id="rId6" w:history="1">
        <w:r w:rsidRPr="00782399">
          <w:rPr>
            <w:rStyle w:val="Hyperlink"/>
            <w:rFonts w:ascii="Times New Roman" w:hAnsi="Times New Roman" w:cs="Times New Roman"/>
            <w:sz w:val="24"/>
            <w:szCs w:val="24"/>
            <w:lang w:val="en-US"/>
          </w:rPr>
          <w:t>http://cviewstrategies.com/wp-content/uploads/2014/03/HBR_Cultural-Change-That-Sticks.pdf</w:t>
        </w:r>
      </w:hyperlink>
    </w:p>
    <w:p w14:paraId="4605BB3A" w14:textId="77777777" w:rsidR="008A6D40" w:rsidRDefault="008A6D40" w:rsidP="008A6D40">
      <w:pPr>
        <w:spacing w:line="480" w:lineRule="auto"/>
        <w:ind w:left="720" w:hanging="720"/>
        <w:rPr>
          <w:rFonts w:ascii="Times New Roman" w:hAnsi="Times New Roman" w:cs="Times New Roman"/>
          <w:sz w:val="24"/>
          <w:szCs w:val="24"/>
          <w:lang w:val="en-US"/>
        </w:rPr>
      </w:pPr>
      <w:r w:rsidRPr="00782399">
        <w:rPr>
          <w:rFonts w:ascii="Times New Roman" w:hAnsi="Times New Roman" w:cs="Times New Roman"/>
          <w:sz w:val="24"/>
          <w:szCs w:val="24"/>
          <w:lang w:val="en-US"/>
        </w:rPr>
        <w:t>Reyes, B. (2011). People, process, and technology: Bringing order to chaos on a large scale. Retrieved from</w:t>
      </w:r>
      <w:r>
        <w:rPr>
          <w:rFonts w:ascii="Times New Roman" w:hAnsi="Times New Roman" w:cs="Times New Roman"/>
          <w:sz w:val="24"/>
          <w:szCs w:val="24"/>
          <w:lang w:val="en-US"/>
        </w:rPr>
        <w:t xml:space="preserve"> </w:t>
      </w:r>
      <w:hyperlink r:id="rId7" w:history="1">
        <w:r w:rsidRPr="00782399">
          <w:rPr>
            <w:rStyle w:val="Hyperlink"/>
            <w:rFonts w:ascii="Times New Roman" w:hAnsi="Times New Roman" w:cs="Times New Roman"/>
            <w:sz w:val="24"/>
            <w:szCs w:val="24"/>
            <w:lang w:val="en-US"/>
          </w:rPr>
          <w:t>http://jindal.utdallas.edu/files/11Reyes-Slides.pdf</w:t>
        </w:r>
      </w:hyperlink>
    </w:p>
    <w:p w14:paraId="64EC8B97" w14:textId="77777777" w:rsidR="008A6D40" w:rsidRDefault="008A6D40" w:rsidP="008A6D40">
      <w:pPr>
        <w:spacing w:line="480" w:lineRule="auto"/>
        <w:ind w:left="720" w:hanging="720"/>
        <w:rPr>
          <w:rFonts w:ascii="Times New Roman" w:hAnsi="Times New Roman" w:cs="Times New Roman"/>
          <w:sz w:val="24"/>
          <w:szCs w:val="24"/>
          <w:lang w:val="en-US"/>
        </w:rPr>
      </w:pPr>
      <w:r w:rsidRPr="00782399">
        <w:rPr>
          <w:rFonts w:ascii="Times New Roman" w:hAnsi="Times New Roman" w:cs="Times New Roman"/>
          <w:sz w:val="24"/>
          <w:szCs w:val="24"/>
          <w:lang w:val="en-US"/>
        </w:rPr>
        <w:t xml:space="preserve">Sanz-Valle, R., Naranjo-Valencia, J., Jime´nez-Jime´nez, D., and Perez-Caballero, L. (2011). Linking organizational learning with technical innovation and organizational culture. </w:t>
      </w:r>
      <w:r w:rsidRPr="00782399">
        <w:rPr>
          <w:rFonts w:ascii="Times New Roman" w:hAnsi="Times New Roman" w:cs="Times New Roman"/>
          <w:i/>
          <w:sz w:val="24"/>
          <w:szCs w:val="24"/>
          <w:lang w:val="en-US"/>
        </w:rPr>
        <w:t>Journal of Knowledge Management.</w:t>
      </w:r>
      <w:r w:rsidRPr="00782399">
        <w:rPr>
          <w:rFonts w:ascii="Times New Roman" w:hAnsi="Times New Roman" w:cs="Times New Roman"/>
          <w:i/>
          <w:iCs/>
          <w:sz w:val="24"/>
          <w:szCs w:val="24"/>
          <w:lang w:val="en-KE"/>
        </w:rPr>
        <w:t xml:space="preserve"> 15</w:t>
      </w:r>
      <w:r w:rsidRPr="00782399">
        <w:rPr>
          <w:rFonts w:ascii="Times New Roman" w:hAnsi="Times New Roman" w:cs="Times New Roman"/>
          <w:sz w:val="24"/>
          <w:szCs w:val="24"/>
          <w:lang w:val="en-KE"/>
        </w:rPr>
        <w:t>(6), 997–1015</w:t>
      </w:r>
      <w:r w:rsidRPr="00782399">
        <w:rPr>
          <w:rFonts w:ascii="Times New Roman" w:hAnsi="Times New Roman" w:cs="Times New Roman"/>
          <w:i/>
          <w:iCs/>
          <w:sz w:val="24"/>
          <w:szCs w:val="24"/>
          <w:lang w:val="en-KE"/>
        </w:rPr>
        <w:t>.</w:t>
      </w:r>
      <w:r w:rsidRPr="00782399">
        <w:rPr>
          <w:rFonts w:ascii="Times New Roman" w:hAnsi="Times New Roman" w:cs="Times New Roman"/>
          <w:sz w:val="24"/>
          <w:szCs w:val="24"/>
          <w:lang w:val="en-KE"/>
        </w:rPr>
        <w:t> doi:10.1108/13673271111179334</w:t>
      </w:r>
      <w:r>
        <w:rPr>
          <w:rFonts w:ascii="Times New Roman" w:hAnsi="Times New Roman" w:cs="Times New Roman"/>
          <w:sz w:val="24"/>
          <w:szCs w:val="24"/>
          <w:lang w:val="en-US"/>
        </w:rPr>
        <w:t>.</w:t>
      </w:r>
    </w:p>
    <w:p w14:paraId="61B412CB" w14:textId="77777777" w:rsidR="008A6D40" w:rsidRDefault="008A6D40" w:rsidP="008A6D40">
      <w:pPr>
        <w:spacing w:line="480" w:lineRule="auto"/>
        <w:ind w:left="720" w:hanging="720"/>
        <w:rPr>
          <w:rFonts w:ascii="Times New Roman" w:hAnsi="Times New Roman" w:cs="Times New Roman"/>
          <w:sz w:val="24"/>
          <w:szCs w:val="24"/>
          <w:lang w:val="en-US"/>
        </w:rPr>
      </w:pPr>
      <w:r w:rsidRPr="00782399">
        <w:rPr>
          <w:rFonts w:ascii="Times New Roman" w:hAnsi="Times New Roman" w:cs="Times New Roman"/>
          <w:sz w:val="24"/>
          <w:szCs w:val="24"/>
          <w:lang w:val="en-US"/>
        </w:rPr>
        <w:t xml:space="preserve">Steel, J. &amp; Murray, M. (2004). Creating, supporting and sustaining a culture of innovation. </w:t>
      </w:r>
      <w:r w:rsidRPr="00782399">
        <w:rPr>
          <w:rFonts w:ascii="Times New Roman" w:hAnsi="Times New Roman" w:cs="Times New Roman"/>
          <w:i/>
          <w:sz w:val="24"/>
          <w:szCs w:val="24"/>
          <w:lang w:val="en-US"/>
        </w:rPr>
        <w:t xml:space="preserve">Engineering, Construction and Architectural Management, </w:t>
      </w:r>
      <w:r w:rsidRPr="00782399">
        <w:rPr>
          <w:rFonts w:ascii="Times New Roman" w:hAnsi="Times New Roman" w:cs="Times New Roman"/>
          <w:i/>
          <w:iCs/>
          <w:sz w:val="24"/>
          <w:szCs w:val="24"/>
          <w:lang w:val="en-US"/>
        </w:rPr>
        <w:t>11</w:t>
      </w:r>
      <w:r w:rsidRPr="00782399">
        <w:rPr>
          <w:rFonts w:ascii="Times New Roman" w:hAnsi="Times New Roman" w:cs="Times New Roman"/>
          <w:sz w:val="24"/>
          <w:szCs w:val="24"/>
          <w:lang w:val="en-US"/>
        </w:rPr>
        <w:t xml:space="preserve">(5), 316-322. </w:t>
      </w:r>
      <w:hyperlink r:id="rId8" w:history="1">
        <w:r w:rsidRPr="00782399">
          <w:rPr>
            <w:rStyle w:val="Hyperlink"/>
            <w:rFonts w:ascii="Times New Roman" w:hAnsi="Times New Roman" w:cs="Times New Roman"/>
            <w:sz w:val="24"/>
            <w:szCs w:val="24"/>
            <w:lang w:val="en-US"/>
          </w:rPr>
          <w:t>https://sci-hub.st/https://www.emerald.com/insight/content/doi/10.1108/09699980410558502/full/html</w:t>
        </w:r>
      </w:hyperlink>
    </w:p>
    <w:p w14:paraId="5441E803" w14:textId="77777777" w:rsidR="008A6D40" w:rsidRDefault="008A6D40" w:rsidP="008A6D40">
      <w:pPr>
        <w:spacing w:line="480" w:lineRule="auto"/>
        <w:ind w:left="720" w:hanging="720"/>
        <w:rPr>
          <w:rFonts w:ascii="Times New Roman" w:hAnsi="Times New Roman" w:cs="Times New Roman"/>
          <w:sz w:val="24"/>
          <w:szCs w:val="24"/>
          <w:lang w:val="en-US"/>
        </w:rPr>
      </w:pPr>
      <w:r w:rsidRPr="00782399">
        <w:rPr>
          <w:rFonts w:ascii="Times New Roman" w:hAnsi="Times New Roman" w:cs="Times New Roman"/>
          <w:sz w:val="24"/>
          <w:szCs w:val="24"/>
          <w:lang w:val="en-US"/>
        </w:rPr>
        <w:t>Van Oosterhout, M. (2010). Business agility and information technology in service organizations (No. EPS-2010-198-LIS). Pp 1-5</w:t>
      </w:r>
      <w:r>
        <w:rPr>
          <w:rFonts w:ascii="Times New Roman" w:hAnsi="Times New Roman" w:cs="Times New Roman"/>
          <w:sz w:val="24"/>
          <w:szCs w:val="24"/>
          <w:lang w:val="en-US"/>
        </w:rPr>
        <w:t>.</w:t>
      </w:r>
    </w:p>
    <w:p w14:paraId="7F6E9500" w14:textId="77777777" w:rsidR="008A6D40" w:rsidRDefault="008A6D40" w:rsidP="008A6D40">
      <w:pPr>
        <w:spacing w:line="480" w:lineRule="auto"/>
        <w:ind w:left="720" w:hanging="720"/>
        <w:rPr>
          <w:rFonts w:ascii="Times New Roman" w:hAnsi="Times New Roman" w:cs="Times New Roman"/>
          <w:sz w:val="24"/>
          <w:szCs w:val="24"/>
          <w:lang w:val="en-US"/>
        </w:rPr>
      </w:pPr>
      <w:r w:rsidRPr="00782399">
        <w:rPr>
          <w:rFonts w:ascii="Times New Roman" w:hAnsi="Times New Roman" w:cs="Times New Roman"/>
          <w:sz w:val="24"/>
          <w:szCs w:val="24"/>
          <w:lang w:val="en-US"/>
        </w:rPr>
        <w:lastRenderedPageBreak/>
        <w:t xml:space="preserve">Williamson, Wayne &amp; Parolin, Bruno. (2012). Review of Web-Based Communications for Town Planning in Local Government. </w:t>
      </w:r>
      <w:r w:rsidRPr="00782399">
        <w:rPr>
          <w:rFonts w:ascii="Times New Roman" w:hAnsi="Times New Roman" w:cs="Times New Roman"/>
          <w:i/>
          <w:sz w:val="24"/>
          <w:szCs w:val="24"/>
          <w:lang w:val="en-US"/>
        </w:rPr>
        <w:t>Journal of Urban Technology</w:t>
      </w:r>
      <w:r w:rsidRPr="00782399">
        <w:rPr>
          <w:rFonts w:ascii="Times New Roman" w:hAnsi="Times New Roman" w:cs="Times New Roman"/>
          <w:sz w:val="24"/>
          <w:szCs w:val="24"/>
          <w:lang w:val="en-US"/>
        </w:rPr>
        <w:t>. 19. 10.1080/10630732.2012.626702.</w:t>
      </w:r>
    </w:p>
    <w:p w14:paraId="50572001" w14:textId="77777777" w:rsidR="008A6D40" w:rsidRPr="00782399" w:rsidRDefault="008A6D40" w:rsidP="008A6D40">
      <w:pPr>
        <w:spacing w:line="480" w:lineRule="auto"/>
        <w:ind w:left="720" w:hanging="720"/>
        <w:rPr>
          <w:rFonts w:ascii="Times New Roman" w:hAnsi="Times New Roman" w:cs="Times New Roman"/>
          <w:sz w:val="24"/>
          <w:szCs w:val="24"/>
          <w:lang w:val="en-US"/>
        </w:rPr>
      </w:pPr>
      <w:r w:rsidRPr="00782399">
        <w:rPr>
          <w:rFonts w:ascii="Times New Roman" w:hAnsi="Times New Roman" w:cs="Times New Roman"/>
          <w:sz w:val="24"/>
          <w:szCs w:val="24"/>
          <w:lang w:val="en-US"/>
        </w:rPr>
        <w:t xml:space="preserve">Yaghoubi, N., Kazemi, M., Dahmardeh, M. R., &amp; Arhami, F. (2011). Organizational agility - a way to import the advantageous aspects of competitive market (an analytical-comparative approach on agility models). </w:t>
      </w:r>
      <w:r w:rsidRPr="00782399">
        <w:rPr>
          <w:rFonts w:ascii="Times New Roman" w:hAnsi="Times New Roman" w:cs="Times New Roman"/>
          <w:i/>
          <w:sz w:val="24"/>
          <w:szCs w:val="24"/>
          <w:lang w:val="en-US"/>
        </w:rPr>
        <w:t>Interdisciplinary Journal of Contemporary Research in Business,</w:t>
      </w:r>
      <w:r w:rsidRPr="00782399">
        <w:rPr>
          <w:rFonts w:ascii="Times New Roman" w:hAnsi="Times New Roman" w:cs="Times New Roman"/>
          <w:sz w:val="24"/>
          <w:szCs w:val="24"/>
          <w:lang w:val="en-US"/>
        </w:rPr>
        <w:t xml:space="preserve"> </w:t>
      </w:r>
      <w:r w:rsidRPr="00782399">
        <w:rPr>
          <w:rFonts w:ascii="Times New Roman" w:hAnsi="Times New Roman" w:cs="Times New Roman"/>
          <w:i/>
          <w:iCs/>
          <w:sz w:val="24"/>
          <w:szCs w:val="24"/>
          <w:lang w:val="en-US"/>
        </w:rPr>
        <w:t>2</w:t>
      </w:r>
      <w:r w:rsidRPr="00782399">
        <w:rPr>
          <w:rFonts w:ascii="Times New Roman" w:hAnsi="Times New Roman" w:cs="Times New Roman"/>
          <w:sz w:val="24"/>
          <w:szCs w:val="24"/>
          <w:lang w:val="en-US"/>
        </w:rPr>
        <w:t xml:space="preserve">(12), 766-783. Retrieved from </w:t>
      </w:r>
      <w:hyperlink r:id="rId9" w:history="1">
        <w:r w:rsidRPr="00782399">
          <w:rPr>
            <w:rStyle w:val="Hyperlink"/>
            <w:rFonts w:ascii="Times New Roman" w:hAnsi="Times New Roman" w:cs="Times New Roman"/>
            <w:sz w:val="24"/>
            <w:szCs w:val="24"/>
            <w:lang w:val="en-US"/>
          </w:rPr>
          <w:t>http://journal-archieves3.webs.com/april11.rar</w:t>
        </w:r>
      </w:hyperlink>
    </w:p>
    <w:sectPr w:rsidR="008A6D40" w:rsidRPr="00782399" w:rsidSect="00066859">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83D9AA" w14:textId="77777777" w:rsidR="00FB166D" w:rsidRDefault="00FB166D" w:rsidP="00066859">
      <w:pPr>
        <w:spacing w:after="0" w:line="240" w:lineRule="auto"/>
      </w:pPr>
      <w:r>
        <w:separator/>
      </w:r>
    </w:p>
  </w:endnote>
  <w:endnote w:type="continuationSeparator" w:id="0">
    <w:p w14:paraId="5A393178" w14:textId="77777777" w:rsidR="00FB166D" w:rsidRDefault="00FB166D" w:rsidP="00066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2C7017" w14:textId="77777777" w:rsidR="00FB166D" w:rsidRDefault="00FB166D" w:rsidP="00066859">
      <w:pPr>
        <w:spacing w:after="0" w:line="240" w:lineRule="auto"/>
      </w:pPr>
      <w:r>
        <w:separator/>
      </w:r>
    </w:p>
  </w:footnote>
  <w:footnote w:type="continuationSeparator" w:id="0">
    <w:p w14:paraId="54B78294" w14:textId="77777777" w:rsidR="00FB166D" w:rsidRDefault="00FB166D" w:rsidP="000668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763343720"/>
      <w:docPartObj>
        <w:docPartGallery w:val="Page Numbers (Top of Page)"/>
        <w:docPartUnique/>
      </w:docPartObj>
    </w:sdtPr>
    <w:sdtEndPr>
      <w:rPr>
        <w:noProof/>
      </w:rPr>
    </w:sdtEndPr>
    <w:sdtContent>
      <w:p w14:paraId="2808B3E6" w14:textId="142A1014" w:rsidR="00066859" w:rsidRPr="00066859" w:rsidRDefault="00066859" w:rsidP="00066859">
        <w:pPr>
          <w:pStyle w:val="Header"/>
          <w:jc w:val="right"/>
          <w:rPr>
            <w:rFonts w:ascii="Times New Roman" w:hAnsi="Times New Roman" w:cs="Times New Roman"/>
            <w:sz w:val="16"/>
            <w:szCs w:val="16"/>
          </w:rPr>
        </w:pPr>
        <w:r w:rsidRPr="00066859">
          <w:rPr>
            <w:rFonts w:ascii="Times New Roman" w:hAnsi="Times New Roman" w:cs="Times New Roman"/>
            <w:bCs/>
            <w:sz w:val="16"/>
            <w:szCs w:val="16"/>
            <w:lang w:val="en-US"/>
          </w:rPr>
          <w:t>POLICIES, PRACTICES, PROCESSES, AND CULTURES THAT CAN EITHER STIFLE OR SUPPORT INNOVATION</w:t>
        </w:r>
        <w:r>
          <w:rPr>
            <w:rFonts w:ascii="Times New Roman" w:hAnsi="Times New Roman" w:cs="Times New Roman"/>
            <w:sz w:val="16"/>
            <w:szCs w:val="16"/>
          </w:rPr>
          <w:tab/>
        </w:r>
        <w:r w:rsidRPr="00066859">
          <w:rPr>
            <w:rFonts w:ascii="Times New Roman" w:hAnsi="Times New Roman" w:cs="Times New Roman"/>
            <w:sz w:val="16"/>
            <w:szCs w:val="16"/>
          </w:rPr>
          <w:fldChar w:fldCharType="begin"/>
        </w:r>
        <w:r w:rsidRPr="00066859">
          <w:rPr>
            <w:rFonts w:ascii="Times New Roman" w:hAnsi="Times New Roman" w:cs="Times New Roman"/>
            <w:sz w:val="16"/>
            <w:szCs w:val="16"/>
          </w:rPr>
          <w:instrText xml:space="preserve"> PAGE   \* MERGEFORMAT </w:instrText>
        </w:r>
        <w:r w:rsidRPr="00066859">
          <w:rPr>
            <w:rFonts w:ascii="Times New Roman" w:hAnsi="Times New Roman" w:cs="Times New Roman"/>
            <w:sz w:val="16"/>
            <w:szCs w:val="16"/>
          </w:rPr>
          <w:fldChar w:fldCharType="separate"/>
        </w:r>
        <w:r w:rsidRPr="00066859">
          <w:rPr>
            <w:rFonts w:ascii="Times New Roman" w:hAnsi="Times New Roman" w:cs="Times New Roman"/>
            <w:noProof/>
            <w:sz w:val="16"/>
            <w:szCs w:val="16"/>
          </w:rPr>
          <w:t>2</w:t>
        </w:r>
        <w:r w:rsidRPr="00066859">
          <w:rPr>
            <w:rFonts w:ascii="Times New Roman" w:hAnsi="Times New Roman" w:cs="Times New Roman"/>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5"/>
        <w:szCs w:val="15"/>
      </w:rPr>
      <w:id w:val="-1016075651"/>
      <w:docPartObj>
        <w:docPartGallery w:val="Page Numbers (Top of Page)"/>
        <w:docPartUnique/>
      </w:docPartObj>
    </w:sdtPr>
    <w:sdtEndPr>
      <w:rPr>
        <w:noProof/>
      </w:rPr>
    </w:sdtEndPr>
    <w:sdtContent>
      <w:p w14:paraId="5935108C" w14:textId="41A238BC" w:rsidR="00066859" w:rsidRPr="00066859" w:rsidRDefault="00066859" w:rsidP="00066859">
        <w:pPr>
          <w:pStyle w:val="Header"/>
          <w:jc w:val="right"/>
          <w:rPr>
            <w:rFonts w:ascii="Times New Roman" w:hAnsi="Times New Roman" w:cs="Times New Roman"/>
            <w:sz w:val="15"/>
            <w:szCs w:val="15"/>
          </w:rPr>
        </w:pPr>
        <w:r w:rsidRPr="00066859">
          <w:rPr>
            <w:rFonts w:ascii="Times New Roman" w:hAnsi="Times New Roman" w:cs="Times New Roman"/>
            <w:sz w:val="15"/>
            <w:szCs w:val="15"/>
            <w:lang w:val="en-US"/>
          </w:rPr>
          <w:t xml:space="preserve">Running head: </w:t>
        </w:r>
        <w:r w:rsidRPr="00066859">
          <w:rPr>
            <w:rFonts w:ascii="Times New Roman" w:hAnsi="Times New Roman" w:cs="Times New Roman"/>
            <w:bCs/>
            <w:sz w:val="15"/>
            <w:szCs w:val="15"/>
            <w:lang w:val="en-US"/>
          </w:rPr>
          <w:t>POLICIES, PRACTICES, PROCESSES, AND CULTURES THAT CAN EITHER STIFLE OR SUPPORT INNOVATION</w:t>
        </w:r>
        <w:r>
          <w:rPr>
            <w:rFonts w:ascii="Times New Roman" w:hAnsi="Times New Roman" w:cs="Times New Roman"/>
            <w:sz w:val="15"/>
            <w:szCs w:val="15"/>
          </w:rPr>
          <w:tab/>
        </w:r>
        <w:r w:rsidRPr="00066859">
          <w:rPr>
            <w:rFonts w:ascii="Times New Roman" w:hAnsi="Times New Roman" w:cs="Times New Roman"/>
            <w:sz w:val="15"/>
            <w:szCs w:val="15"/>
          </w:rPr>
          <w:fldChar w:fldCharType="begin"/>
        </w:r>
        <w:r w:rsidRPr="00066859">
          <w:rPr>
            <w:rFonts w:ascii="Times New Roman" w:hAnsi="Times New Roman" w:cs="Times New Roman"/>
            <w:sz w:val="15"/>
            <w:szCs w:val="15"/>
          </w:rPr>
          <w:instrText xml:space="preserve"> PAGE   \* MERGEFORMAT </w:instrText>
        </w:r>
        <w:r w:rsidRPr="00066859">
          <w:rPr>
            <w:rFonts w:ascii="Times New Roman" w:hAnsi="Times New Roman" w:cs="Times New Roman"/>
            <w:sz w:val="15"/>
            <w:szCs w:val="15"/>
          </w:rPr>
          <w:fldChar w:fldCharType="separate"/>
        </w:r>
        <w:r w:rsidRPr="00066859">
          <w:rPr>
            <w:rFonts w:ascii="Times New Roman" w:hAnsi="Times New Roman" w:cs="Times New Roman"/>
            <w:noProof/>
            <w:sz w:val="15"/>
            <w:szCs w:val="15"/>
          </w:rPr>
          <w:t>2</w:t>
        </w:r>
        <w:r w:rsidRPr="00066859">
          <w:rPr>
            <w:rFonts w:ascii="Times New Roman" w:hAnsi="Times New Roman" w:cs="Times New Roman"/>
            <w:noProof/>
            <w:sz w:val="15"/>
            <w:szCs w:val="15"/>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399"/>
    <w:rsid w:val="00066859"/>
    <w:rsid w:val="0020330A"/>
    <w:rsid w:val="006B02F4"/>
    <w:rsid w:val="00782399"/>
    <w:rsid w:val="007C66B1"/>
    <w:rsid w:val="008A6D40"/>
    <w:rsid w:val="008E17A1"/>
    <w:rsid w:val="00B3637D"/>
    <w:rsid w:val="00FB166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D0C2D9"/>
  <w15:chartTrackingRefBased/>
  <w15:docId w15:val="{D197883B-AA1B-45CA-9352-251BE5CFD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2399"/>
    <w:rPr>
      <w:color w:val="0563C1" w:themeColor="hyperlink"/>
      <w:u w:val="single"/>
    </w:rPr>
  </w:style>
  <w:style w:type="character" w:styleId="UnresolvedMention">
    <w:name w:val="Unresolved Mention"/>
    <w:basedOn w:val="DefaultParagraphFont"/>
    <w:uiPriority w:val="99"/>
    <w:semiHidden/>
    <w:unhideWhenUsed/>
    <w:rsid w:val="00782399"/>
    <w:rPr>
      <w:color w:val="605E5C"/>
      <w:shd w:val="clear" w:color="auto" w:fill="E1DFDD"/>
    </w:rPr>
  </w:style>
  <w:style w:type="paragraph" w:styleId="Header">
    <w:name w:val="header"/>
    <w:basedOn w:val="Normal"/>
    <w:link w:val="HeaderChar"/>
    <w:uiPriority w:val="99"/>
    <w:unhideWhenUsed/>
    <w:rsid w:val="000668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6859"/>
  </w:style>
  <w:style w:type="paragraph" w:styleId="Footer">
    <w:name w:val="footer"/>
    <w:basedOn w:val="Normal"/>
    <w:link w:val="FooterChar"/>
    <w:uiPriority w:val="99"/>
    <w:unhideWhenUsed/>
    <w:rsid w:val="000668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68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hub.st/https://www.emerald.com/insight/content/doi/10.1108/09699980410558502/full/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jindal.utdallas.edu/files/11Reyes-Slides.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viewstrategies.com/wp-content/uploads/2014/03/HBR_Cultural-Change-That-Sticks.pdf"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journal-archieves3.webs.com/april11.r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9</Pages>
  <Words>2032</Words>
  <Characters>11583</Characters>
  <Application>Microsoft Office Word</Application>
  <DocSecurity>0</DocSecurity>
  <Lines>96</Lines>
  <Paragraphs>27</Paragraphs>
  <ScaleCrop>false</ScaleCrop>
  <Company/>
  <LinksUpToDate>false</LinksUpToDate>
  <CharactersWithSpaces>13588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12</cp:revision>
  <dcterms:created xsi:type="dcterms:W3CDTF">2020-12-22T12:33:00Z</dcterms:created>
  <dcterms:modified xsi:type="dcterms:W3CDTF">2020-12-22T13:01:00Z</dcterms:modified>
</cp:coreProperties>
</file>